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30CF" w14:textId="0FF39026" w:rsidR="00230B0A" w:rsidRDefault="00230B0A" w:rsidP="00230B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30B0A">
        <w:rPr>
          <w:rFonts w:ascii="Times New Roman" w:hAnsi="Times New Roman" w:cs="Times New Roman"/>
          <w:b/>
          <w:sz w:val="22"/>
          <w:szCs w:val="22"/>
          <w:lang w:val="en-US"/>
        </w:rPr>
        <w:t>Supplementary document 1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230B0A">
        <w:rPr>
          <w:rFonts w:ascii="Times New Roman" w:hAnsi="Times New Roman" w:cs="Times New Roman"/>
          <w:sz w:val="22"/>
          <w:szCs w:val="22"/>
          <w:lang w:val="en-US"/>
        </w:rPr>
        <w:t>Detailed methods and results of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/>
        </w:rPr>
        <w:t>mtDNA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 sequencing and Assemble Species by Automatic Partitioning.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DEDC4DE" w14:textId="77777777" w:rsidR="00230B0A" w:rsidRDefault="00230B0A" w:rsidP="00230B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14:paraId="6142E724" w14:textId="4F9672FC" w:rsidR="00024B9C" w:rsidRPr="00230B0A" w:rsidRDefault="00024B9C" w:rsidP="00230B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We sequenced a fragment of the mitochondrial 16S rRNA of one adult frog from the captive colony (unnumbered specimen at Trier University; GenBank accession number </w:t>
      </w:r>
      <w:r w:rsidR="00664BEA" w:rsidRPr="00664BEA">
        <w:rPr>
          <w:rFonts w:ascii="Times New Roman" w:hAnsi="Times New Roman" w:cs="Times New Roman"/>
          <w:sz w:val="22"/>
          <w:szCs w:val="22"/>
          <w:lang w:val="en-US"/>
        </w:rPr>
        <w:t>PP835395</w:t>
      </w:r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DNA was extracted from muscle tissue using the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DNeasy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Blood and Tissue Kit (Qiagen, Hilden, Germany). For amplification, we used </w:t>
      </w:r>
      <w:r w:rsidRPr="00230B0A">
        <w:rPr>
          <w:rFonts w:ascii="Times New Roman" w:hAnsi="Times New Roman" w:cs="Times New Roman"/>
          <w:sz w:val="22"/>
          <w:szCs w:val="22"/>
          <w:lang w:val="en-US"/>
        </w:rPr>
        <w:t>the primers 16SA-L (5' - CGC CTG TTT ATC AAA AAC AT - 3') and 16SB-H (5' - CCG GTC TGA ACT CAG ATC ACG T - 3') (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/>
        </w:rPr>
        <w:t>Vences</w:t>
      </w:r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 et al. 2005). We performed PCR in 10 µl reactions using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/>
        </w:rPr>
        <w:t>TaqMan</w:t>
      </w:r>
      <w:r w:rsidRPr="00230B0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TM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 Multiplex Master Mix (Thermo Fisher Scientific, Waltham, Massachusetts, USA) and purified PCR products using the High Pure PCR Product Purification Kit (Roche, Mannheim, Germany). Purified amplicons were sequenced at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/>
        </w:rPr>
        <w:t>Macrogene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/>
        </w:rPr>
        <w:t xml:space="preserve"> Europe (Amsterdam, Netherlands).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Obtained sequences were edited and aligned with sequences downloaded from GenBank using </w:t>
      </w:r>
      <w:r w:rsidRPr="00230B0A">
        <w:rPr>
          <w:rFonts w:ascii="Times New Roman" w:hAnsi="Times New Roman" w:cs="Times New Roman"/>
          <w:caps/>
          <w:sz w:val="22"/>
          <w:szCs w:val="22"/>
          <w:lang w:val="en-US" w:eastAsia="es-ES"/>
        </w:rPr>
        <w:t>MEGA 11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. </w:t>
      </w:r>
    </w:p>
    <w:p w14:paraId="5EAA3528" w14:textId="77777777" w:rsidR="00024B9C" w:rsidRPr="00230B0A" w:rsidRDefault="00024B9C" w:rsidP="00024B9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The final alignment contained 529 positions. To test if both Ecuadorian and Peruvian specimens morphologically allocable to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proofErr w:type="spellEnd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nexipus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comprise the same taxon, we applied the molecular-based species delimitation method Assemble Species by Automatic Partitioning (ASAP;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Puillandre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et al. 2021). For this purpose, we obtained data from GenBank for 15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samples and dendrobatid outgroups (Table S1). We ran ASAP directly on the web server (https://bioinfo.mnhn.fr/abi/public/asap/asapweb.html; 8 June 2023) using a simple distance model and default parameters. Our sequence was nested within available sequences of 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H.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nexipus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with both all Ecuadorian and Peruvian material supported as a single taxon in ASAP. </w:t>
      </w:r>
    </w:p>
    <w:p w14:paraId="42C61AA5" w14:textId="77777777" w:rsidR="00024B9C" w:rsidRPr="00230B0A" w:rsidRDefault="00024B9C" w:rsidP="00024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44F900FC" w14:textId="77777777" w:rsidR="00024B9C" w:rsidRPr="00230B0A" w:rsidRDefault="00024B9C" w:rsidP="00024B9C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Table S1.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GenBank samples and their accession numbers used in this study.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9"/>
        <w:gridCol w:w="3533"/>
      </w:tblGrid>
      <w:tr w:rsidR="00024B9C" w:rsidRPr="00230B0A" w14:paraId="0C528B88" w14:textId="77777777" w:rsidTr="00024B9C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FA7A39B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Sequence name as in Figure S1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D3C45E6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GenBank accession code</w:t>
            </w:r>
          </w:p>
        </w:tc>
      </w:tr>
      <w:tr w:rsidR="00024B9C" w:rsidRPr="00230B0A" w14:paraId="588F0EE4" w14:textId="77777777" w:rsidTr="007527F8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FA75D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Epipedobates_anthonyi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47526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KY407884.1</w:t>
            </w:r>
          </w:p>
        </w:tc>
      </w:tr>
      <w:tr w:rsidR="00024B9C" w:rsidRPr="00230B0A" w14:paraId="5DC9C8E8" w14:textId="77777777" w:rsidTr="007527F8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B23BD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Phyllobates_terribilis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6B426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EU342639.1</w:t>
            </w:r>
          </w:p>
        </w:tc>
      </w:tr>
      <w:tr w:rsidR="00024B9C" w:rsidRPr="00230B0A" w14:paraId="44A9D56D" w14:textId="77777777" w:rsidTr="007527F8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D587B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Hyloxalus_yasuni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8253F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MF624236.1</w:t>
            </w:r>
          </w:p>
        </w:tc>
      </w:tr>
      <w:tr w:rsidR="00024B9C" w:rsidRPr="00230B0A" w14:paraId="25B4ABC9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26D93E2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Hyloxalus_sauli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00CF246A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EU342696.1</w:t>
            </w:r>
          </w:p>
        </w:tc>
      </w:tr>
      <w:tr w:rsidR="00024B9C" w:rsidRPr="00230B0A" w14:paraId="73162E89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F2EF71E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Hyloxalus_maculosus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67CB089C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HQ286384.1</w:t>
            </w:r>
          </w:p>
        </w:tc>
      </w:tr>
      <w:tr w:rsidR="00024B9C" w:rsidRPr="00230B0A" w14:paraId="10C053C3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5042878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_road_Tarapoto_Yurimaguas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B91503E" w14:textId="14112A09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 xml:space="preserve">this study; </w:t>
            </w:r>
            <w:r w:rsidR="00664BEA" w:rsidRPr="00664BE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PP835395</w:t>
            </w:r>
          </w:p>
        </w:tc>
      </w:tr>
      <w:tr w:rsidR="00024B9C" w:rsidRPr="00230B0A" w14:paraId="19F20229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D5A0F6B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</w:pPr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s-CO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  <w:t>_Cataratas_Ahuashiyacu_A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30E62D3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DQ502016.1</w:t>
            </w:r>
          </w:p>
        </w:tc>
      </w:tr>
      <w:tr w:rsidR="00024B9C" w:rsidRPr="00230B0A" w14:paraId="4D37BBEF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44999A3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</w:pPr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s-CO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  <w:t>_Cataratas_Ahuashiyacu_B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697EBA4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EU342712.1</w:t>
            </w:r>
          </w:p>
        </w:tc>
      </w:tr>
      <w:tr w:rsidR="00024B9C" w:rsidRPr="00230B0A" w14:paraId="1A93E529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E3192FE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</w:pPr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s-CO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s-CO" w:eastAsia="es-ES"/>
              </w:rPr>
              <w:t>_Cataratas_Ahuashiyacu_C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EE10BF0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EU342713.1</w:t>
            </w:r>
          </w:p>
        </w:tc>
      </w:tr>
      <w:tr w:rsidR="00024B9C" w:rsidRPr="00230B0A" w14:paraId="2FB186CF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6CB09D2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_Tarapoto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26449269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EU342714.1</w:t>
            </w:r>
          </w:p>
        </w:tc>
      </w:tr>
      <w:tr w:rsidR="00024B9C" w:rsidRPr="00230B0A" w14:paraId="622CF764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88D83AC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_6km_ESE_Shapaja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8013A78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EU342711.1</w:t>
            </w:r>
          </w:p>
        </w:tc>
      </w:tr>
      <w:tr w:rsidR="00024B9C" w:rsidRPr="00230B0A" w14:paraId="08D8341C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21BA372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_EC_Indanza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295A50BD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EU342709.1</w:t>
            </w:r>
          </w:p>
        </w:tc>
      </w:tr>
      <w:tr w:rsidR="00024B9C" w:rsidRPr="00230B0A" w14:paraId="5DC75364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953DAA7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Hyloxalus_nexipus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_EC_Mendez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50F8399E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EU342710.1</w:t>
            </w:r>
          </w:p>
        </w:tc>
      </w:tr>
      <w:tr w:rsidR="00024B9C" w:rsidRPr="00230B0A" w14:paraId="4F84DF72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2D6F9DF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Hyloxalus_vertebralis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C3CB1FC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AY364564.1</w:t>
            </w:r>
          </w:p>
        </w:tc>
      </w:tr>
      <w:tr w:rsidR="00024B9C" w:rsidRPr="00230B0A" w14:paraId="2CF669EE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77CFC85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Hyloxalus_pulchellus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_Yanuyaco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50F04791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EU342722.1</w:t>
            </w:r>
          </w:p>
        </w:tc>
      </w:tr>
      <w:tr w:rsidR="00024B9C" w:rsidRPr="00230B0A" w14:paraId="65D7C55C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44AAAA7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Hyloxalus_pulchellus</w:t>
            </w: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_Rio_Azuela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3F817E51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EU342720.1</w:t>
            </w:r>
          </w:p>
        </w:tc>
      </w:tr>
      <w:tr w:rsidR="00024B9C" w:rsidRPr="00230B0A" w14:paraId="6155F19B" w14:textId="77777777" w:rsidTr="007527F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1BB55C2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Hyloxalus_toachi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2AD5A634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EU342744.1</w:t>
            </w:r>
          </w:p>
        </w:tc>
      </w:tr>
      <w:tr w:rsidR="00024B9C" w:rsidRPr="00230B0A" w14:paraId="05255E37" w14:textId="77777777" w:rsidTr="007527F8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2A38C" w14:textId="77777777" w:rsidR="00024B9C" w:rsidRPr="00230B0A" w:rsidRDefault="00024B9C" w:rsidP="00024B9C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</w:pPr>
            <w:proofErr w:type="spellStart"/>
            <w:r w:rsidRPr="00230B0A">
              <w:rPr>
                <w:rFonts w:ascii="Times New Roman" w:hAnsi="Times New Roman" w:cs="Times New Roman"/>
                <w:i/>
                <w:sz w:val="22"/>
                <w:szCs w:val="22"/>
                <w:lang w:val="en-US" w:eastAsia="es-ES"/>
              </w:rPr>
              <w:t>Hyloxalus_awa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8FC58" w14:textId="77777777" w:rsidR="00024B9C" w:rsidRPr="00230B0A" w:rsidRDefault="00024B9C" w:rsidP="00024B9C">
            <w:pPr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</w:pPr>
            <w:r w:rsidRPr="00230B0A">
              <w:rPr>
                <w:rFonts w:ascii="Times New Roman" w:hAnsi="Times New Roman" w:cs="Times New Roman"/>
                <w:sz w:val="22"/>
                <w:szCs w:val="22"/>
                <w:lang w:val="en-US" w:eastAsia="es-ES"/>
              </w:rPr>
              <w:t>EU342743.1</w:t>
            </w:r>
          </w:p>
        </w:tc>
      </w:tr>
    </w:tbl>
    <w:p w14:paraId="059C17D6" w14:textId="7E581B2F" w:rsidR="009B1931" w:rsidRPr="00230B0A" w:rsidRDefault="009B1931" w:rsidP="00024B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We built a maximum likelihood-based phylogenetic tree 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in IQ</w:t>
      </w:r>
      <w:r w:rsidR="00B4267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-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TREE </w:t>
      </w:r>
      <w:r w:rsidR="00B4267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version</w:t>
      </w:r>
      <w:r w:rsidR="00120DBB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2.0.3 (</w:t>
      </w:r>
      <w:r w:rsidR="00120DBB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Minh</w:t>
      </w:r>
      <w:r w:rsidR="00120DBB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et al. 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2020)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using </w:t>
      </w:r>
      <w:proofErr w:type="spellStart"/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ModelFinderPlus</w:t>
      </w:r>
      <w:proofErr w:type="spellEnd"/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(-m MFP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; </w:t>
      </w:r>
      <w:proofErr w:type="spellStart"/>
      <w:r w:rsidR="005E0DF9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Kalyaanamoorthy</w:t>
      </w:r>
      <w:proofErr w:type="spellEnd"/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et al. 2017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) 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with 100,000 ultrafast bootstrap replicates 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(-bb 100000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; </w:t>
      </w:r>
      <w:r w:rsidR="005E0DF9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Hoang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et al. 2018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) 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and 100,000 replicates of the 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SH-like approximate likelihood ratio test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(-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alrt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100000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; </w:t>
      </w:r>
      <w:r w:rsidR="005E0DF9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Guindon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et al. 2010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)</w:t>
      </w:r>
      <w:r w:rsidR="007F519F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.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All</w:t>
      </w:r>
      <w:r w:rsidR="00024B9C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  <w:proofErr w:type="spellStart"/>
      <w:r w:rsidR="005E0DF9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proofErr w:type="spellEnd"/>
      <w:r w:rsidR="005E0DF9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  <w:proofErr w:type="spellStart"/>
      <w:r w:rsidR="005E0DF9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nexipus</w:t>
      </w:r>
      <w:proofErr w:type="spellEnd"/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samples formed </w:t>
      </w:r>
      <w:r w:rsidR="008D5C44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a 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clearly monophyletic assemblage</w:t>
      </w:r>
      <w:r w:rsidR="005E0DF9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.</w:t>
      </w:r>
    </w:p>
    <w:p w14:paraId="504B2006" w14:textId="77777777" w:rsidR="00024B9C" w:rsidRPr="00230B0A" w:rsidRDefault="00024B9C" w:rsidP="00024B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6D187858" w14:textId="77777777" w:rsidR="009B1931" w:rsidRPr="00230B0A" w:rsidRDefault="00B4267C" w:rsidP="00B0264D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noProof/>
          <w:sz w:val="22"/>
          <w:szCs w:val="22"/>
          <w:lang w:eastAsia="de-DE"/>
        </w:rPr>
        <w:lastRenderedPageBreak/>
        <w:drawing>
          <wp:inline distT="0" distB="0" distL="0" distR="0" wp14:anchorId="50751661" wp14:editId="36E85B02">
            <wp:extent cx="5760720" cy="3001114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C180" w14:textId="77777777" w:rsidR="005E0DF9" w:rsidRPr="00230B0A" w:rsidRDefault="005E0DF9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 xml:space="preserve">Figure </w:t>
      </w:r>
      <w:r w:rsidR="00024B9C"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S</w:t>
      </w: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1.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Maximum likelihood tree for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proofErr w:type="spellEnd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nexipus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including samples from both localities from where tadpoles were studied (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i.e.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_EC_Mendez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and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br/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road_Tarapoto_Yurimaguas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). The sequence from this study is indicated by an asterisk. Branch values show Ultrafast Bootstrap values and SH-like approximate likelihood ratio test values.</w:t>
      </w:r>
    </w:p>
    <w:p w14:paraId="16853D52" w14:textId="70FC904D" w:rsidR="005E0DF9" w:rsidRPr="00230B0A" w:rsidRDefault="005E0DF9" w:rsidP="00B0264D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4F641A2F" w14:textId="77777777" w:rsidR="00F4506B" w:rsidRDefault="00F4506B" w:rsidP="00024B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0B5EFA67" w14:textId="77777777" w:rsidR="00F4506B" w:rsidRDefault="00F4506B" w:rsidP="00024B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108E22E5" w14:textId="4E4D6D17" w:rsidR="009B1931" w:rsidRPr="00230B0A" w:rsidRDefault="009B1931" w:rsidP="00024B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The first partition provided by ASAP had an Asap-Score of 1.500000 and a probability of 2.614770*e-1. ASAP found </w:t>
      </w:r>
      <w:r w:rsidR="00B0264D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8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subsets in the alignment as follows</w:t>
      </w:r>
      <w:r w:rsidR="00303DA6"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(names as in Fig. 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</w:t>
      </w:r>
      <w:r w:rsidR="00303DA6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1)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:</w:t>
      </w:r>
    </w:p>
    <w:p w14:paraId="37DD7632" w14:textId="77777777" w:rsidR="00024B9C" w:rsidRPr="00230B0A" w:rsidRDefault="00024B9C" w:rsidP="00024B9C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460C2F2F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1 ] n: 8 ;id: </w:t>
      </w:r>
    </w:p>
    <w:p w14:paraId="5C7B01CD" w14:textId="77777777" w:rsidR="00B0264D" w:rsidRPr="00230B0A" w:rsidRDefault="00B0264D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_PE_road_Tarapoto_Yurimaguas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_PE_Cataratas_Ahuashiyacu_A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</w:p>
    <w:p w14:paraId="76010C9B" w14:textId="77777777" w:rsidR="00B0264D" w:rsidRPr="00230B0A" w:rsidRDefault="00B0264D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_PE_Tarapoto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</w:p>
    <w:p w14:paraId="214D8F2C" w14:textId="77777777" w:rsidR="00B0264D" w:rsidRPr="00230B0A" w:rsidRDefault="00B0264D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_PE_6km_ESE_Shapaja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_PE_Cataratas_Ahuashiyacu_B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_PE_Cataratas_Ahuashiyacu_C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</w:p>
    <w:p w14:paraId="377A3E03" w14:textId="77777777" w:rsidR="009B1931" w:rsidRPr="00230B0A" w:rsidRDefault="00B0264D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Hyloxalus_nexipus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_EC_Mendez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Hyloxalus_nexipus_EC_Indanza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</w:p>
    <w:p w14:paraId="67A9C750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77503A2D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2 ] n: 1 ;id: </w:t>
      </w:r>
    </w:p>
    <w:p w14:paraId="5BD4C2B0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Phyllobates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terribilis</w:t>
      </w:r>
      <w:proofErr w:type="spellEnd"/>
    </w:p>
    <w:p w14:paraId="0C3DBAF9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373A9E8D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3 ] n: 1 ;id: </w:t>
      </w:r>
    </w:p>
    <w:p w14:paraId="5EE1549F" w14:textId="77777777" w:rsidR="009B1931" w:rsidRPr="00230B0A" w:rsidRDefault="009B1931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yasuni</w:t>
      </w:r>
      <w:proofErr w:type="spellEnd"/>
    </w:p>
    <w:p w14:paraId="057849F5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72B9E895" w14:textId="77777777" w:rsidR="00220105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4 ] n: 1 ;id: </w:t>
      </w:r>
    </w:p>
    <w:p w14:paraId="611C9F40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Hyloxalus_</w:t>
      </w:r>
      <w:r w:rsidR="009B1931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vertebralis</w:t>
      </w:r>
      <w:proofErr w:type="spellEnd"/>
      <w:r w:rsidR="009B1931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</w:p>
    <w:p w14:paraId="221655A9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4DE0EE17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5 ] n: 2 ;id: </w:t>
      </w:r>
    </w:p>
    <w:p w14:paraId="491ABCF3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pulchellus</w:t>
      </w:r>
      <w:r w:rsidR="00303DA6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_EC_Yanuyaco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</w:t>
      </w:r>
    </w:p>
    <w:p w14:paraId="21CF92E4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pulchellus</w:t>
      </w:r>
      <w:r w:rsidR="00303DA6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_EC_Rio_Azuela</w:t>
      </w:r>
      <w:proofErr w:type="spellEnd"/>
    </w:p>
    <w:p w14:paraId="3342FBC9" w14:textId="77777777" w:rsidR="009B1931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2BC22862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6 ] n: 2 ;id: </w:t>
      </w:r>
    </w:p>
    <w:p w14:paraId="529413B0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toachi</w:t>
      </w:r>
      <w:proofErr w:type="spellEnd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</w:p>
    <w:p w14:paraId="15C429D9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303DA6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awa</w:t>
      </w:r>
      <w:proofErr w:type="spellEnd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</w:p>
    <w:p w14:paraId="21861452" w14:textId="77777777" w:rsidR="00303DA6" w:rsidRPr="00230B0A" w:rsidRDefault="00303DA6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2FC640E4" w14:textId="77777777" w:rsidR="00303DA6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lastRenderedPageBreak/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7 ] n: 1 ;id: </w:t>
      </w:r>
    </w:p>
    <w:p w14:paraId="63B44005" w14:textId="77777777" w:rsidR="009B1931" w:rsidRPr="00230B0A" w:rsidRDefault="00B0264D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Epipedobates_anthonyi</w:t>
      </w:r>
      <w:proofErr w:type="spellEnd"/>
    </w:p>
    <w:p w14:paraId="1508EDD0" w14:textId="77777777" w:rsidR="00DB7099" w:rsidRPr="00230B0A" w:rsidRDefault="00DB7099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129810EB" w14:textId="77777777" w:rsidR="00DB7099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gram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Subset[</w:t>
      </w:r>
      <w:proofErr w:type="gram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8 ] n: 2 ;id: </w:t>
      </w:r>
    </w:p>
    <w:p w14:paraId="6ECDBE5E" w14:textId="77777777" w:rsidR="00DB7099" w:rsidRPr="00230B0A" w:rsidRDefault="009B1931" w:rsidP="00024B9C">
      <w:pPr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DB7099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sauli</w:t>
      </w:r>
      <w:proofErr w:type="spellEnd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 xml:space="preserve"> </w:t>
      </w:r>
    </w:p>
    <w:p w14:paraId="660D026C" w14:textId="77777777" w:rsidR="00DB7099" w:rsidRPr="00230B0A" w:rsidRDefault="009B1931" w:rsidP="00024B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Hyloxalus</w:t>
      </w:r>
      <w:r w:rsidR="00DB7099"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_</w:t>
      </w:r>
      <w:r w:rsidRPr="00230B0A">
        <w:rPr>
          <w:rFonts w:ascii="Times New Roman" w:hAnsi="Times New Roman" w:cs="Times New Roman"/>
          <w:i/>
          <w:sz w:val="22"/>
          <w:szCs w:val="22"/>
          <w:lang w:val="en-US" w:eastAsia="es-ES"/>
        </w:rPr>
        <w:t>maculosus</w:t>
      </w:r>
      <w:proofErr w:type="spellEnd"/>
    </w:p>
    <w:p w14:paraId="1C22E731" w14:textId="0D312A1C" w:rsidR="003B1296" w:rsidRPr="00230B0A" w:rsidRDefault="003B1296" w:rsidP="00024B9C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32292EFE" w14:textId="77777777" w:rsidR="00232D9C" w:rsidRPr="00230B0A" w:rsidRDefault="00232D9C" w:rsidP="00024B9C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020C033E" w14:textId="77777777" w:rsidR="003B1296" w:rsidRPr="00230B0A" w:rsidRDefault="003B1296" w:rsidP="00024B9C">
      <w:pPr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References</w:t>
      </w:r>
    </w:p>
    <w:p w14:paraId="21E51D18" w14:textId="77777777" w:rsidR="003B1296" w:rsidRPr="00230B0A" w:rsidRDefault="003B1296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Guindon, S., J.-F.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Dufayard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, V.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Lefort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, M. Anisimova, W.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Hordijk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&amp; O.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Gascuel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(2010): </w:t>
      </w:r>
      <w:r w:rsidR="00024B9C" w:rsidRPr="00230B0A">
        <w:rPr>
          <w:rFonts w:ascii="Times New Roman" w:hAnsi="Times New Roman" w:cs="Times New Roman"/>
          <w:sz w:val="22"/>
          <w:szCs w:val="22"/>
          <w:lang w:val="en-US" w:eastAsia="es-ES"/>
        </w:rPr>
        <w:t>New algorithms and methods to estimate maximum-likelihood phylogenies: Assessing the p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erformance of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PhyML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3.0. – Systematic Biology, </w:t>
      </w: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59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: 307–321.</w:t>
      </w:r>
    </w:p>
    <w:p w14:paraId="6D99E4B4" w14:textId="77777777" w:rsidR="003B1296" w:rsidRPr="00230B0A" w:rsidRDefault="003B1296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mallCaps/>
          <w:sz w:val="22"/>
          <w:szCs w:val="22"/>
          <w:lang w:val="en-US" w:eastAsia="es-ES"/>
        </w:rPr>
      </w:pP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Hoang, D.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T., O.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Chernomor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, A. von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Haeseler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, B.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Q. Minh &amp; L.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S. Vinh (2018): 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UFBoot2: Improving the ultrafast bootstrap approximation. </w:t>
      </w:r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>– Molecular Biology and Evolution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, </w:t>
      </w: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35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: 518–522.</w:t>
      </w:r>
    </w:p>
    <w:p w14:paraId="43E7CD12" w14:textId="77777777" w:rsidR="003B1296" w:rsidRPr="00230B0A" w:rsidRDefault="003B1296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Kalyaanamoorthy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, S.,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B.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Q. Minh, T.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K.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F. Wong, A. von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Haeseler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, L.</w:t>
      </w:r>
      <w:r w:rsidR="00024B9C"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 </w:t>
      </w:r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 xml:space="preserve">S.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US" w:eastAsia="es-ES"/>
        </w:rPr>
        <w:t>Jermiin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(2017): </w:t>
      </w:r>
      <w:proofErr w:type="spellStart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>ModelFinder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: Fast model selection for accurate phylogenetic estimates. – Nature Methods, </w:t>
      </w:r>
      <w:r w:rsidRPr="00230B0A">
        <w:rPr>
          <w:rFonts w:ascii="Times New Roman" w:hAnsi="Times New Roman" w:cs="Times New Roman"/>
          <w:b/>
          <w:sz w:val="22"/>
          <w:szCs w:val="22"/>
          <w:lang w:val="en-US" w:eastAsia="es-ES"/>
        </w:rPr>
        <w:t>14</w:t>
      </w:r>
      <w:r w:rsidRPr="00230B0A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: 587–589. </w:t>
      </w:r>
    </w:p>
    <w:p w14:paraId="2EB2F2CC" w14:textId="77777777" w:rsidR="00024B9C" w:rsidRPr="00230B0A" w:rsidRDefault="003B1296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en-GB" w:eastAsia="es-ES"/>
        </w:rPr>
      </w:pPr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Minh, B. Q., H. A. Schmidt, O.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Chernomor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, D. Schrempf, M. D. Woodhams, A. van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Haeseler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 &amp; R.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Lanfear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 xml:space="preserve"> (2020): IQ-TREE 2: New models and efficient methods for phylogenetic inference in the genomic era. – Molecular Biology and Evolution, </w:t>
      </w:r>
      <w:r w:rsidRPr="00230B0A">
        <w:rPr>
          <w:rFonts w:ascii="Times New Roman" w:hAnsi="Times New Roman" w:cs="Times New Roman"/>
          <w:b/>
          <w:sz w:val="22"/>
          <w:szCs w:val="22"/>
          <w:lang w:val="en-GB" w:eastAsia="es-ES"/>
        </w:rPr>
        <w:t>37</w:t>
      </w:r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>: 1530–1534</w:t>
      </w:r>
      <w:r w:rsidR="00347098" w:rsidRPr="00230B0A">
        <w:rPr>
          <w:rFonts w:ascii="Times New Roman" w:hAnsi="Times New Roman" w:cs="Times New Roman"/>
          <w:sz w:val="22"/>
          <w:szCs w:val="22"/>
          <w:lang w:val="en-GB" w:eastAsia="es-ES"/>
        </w:rPr>
        <w:t>.</w:t>
      </w:r>
    </w:p>
    <w:p w14:paraId="22194BFC" w14:textId="77777777" w:rsidR="00024B9C" w:rsidRPr="00230B0A" w:rsidRDefault="00024B9C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en-GB" w:eastAsia="es-ES"/>
        </w:rPr>
      </w:pP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Puillandre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, N., S.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Brouillet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 &amp; G.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Achaz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 xml:space="preserve"> (2020): ASAP: assemble species by automatic partitioning. – Molecular Ecology Resources, </w:t>
      </w:r>
      <w:r w:rsidRPr="00230B0A">
        <w:rPr>
          <w:rFonts w:ascii="Times New Roman" w:hAnsi="Times New Roman" w:cs="Times New Roman"/>
          <w:b/>
          <w:sz w:val="22"/>
          <w:szCs w:val="22"/>
          <w:lang w:val="en-GB" w:eastAsia="es-ES"/>
        </w:rPr>
        <w:t>21</w:t>
      </w:r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>: 609–620.</w:t>
      </w:r>
    </w:p>
    <w:p w14:paraId="3F84CE26" w14:textId="77777777" w:rsidR="00024B9C" w:rsidRPr="00230B0A" w:rsidRDefault="00024B9C" w:rsidP="00024B9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en-GB" w:eastAsia="es-ES"/>
        </w:rPr>
      </w:pPr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Vences, M., M. Thomas, A. van der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Meijden</w:t>
      </w:r>
      <w:proofErr w:type="spellEnd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 xml:space="preserve">, Y. Chiari &amp; D. R. </w:t>
      </w:r>
      <w:proofErr w:type="spellStart"/>
      <w:r w:rsidRPr="00230B0A">
        <w:rPr>
          <w:rFonts w:ascii="Times New Roman" w:hAnsi="Times New Roman" w:cs="Times New Roman"/>
          <w:smallCaps/>
          <w:sz w:val="22"/>
          <w:szCs w:val="22"/>
          <w:lang w:val="en-GB" w:eastAsia="es-ES"/>
        </w:rPr>
        <w:t>Vieites</w:t>
      </w:r>
      <w:proofErr w:type="spellEnd"/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 xml:space="preserve"> (2005): Comparative performance of the 16S rRNA gene in DNA barcoding of amphibians. – Frontiers in Zoology, </w:t>
      </w:r>
      <w:r w:rsidRPr="00230B0A">
        <w:rPr>
          <w:rFonts w:ascii="Times New Roman" w:hAnsi="Times New Roman" w:cs="Times New Roman"/>
          <w:b/>
          <w:sz w:val="22"/>
          <w:szCs w:val="22"/>
          <w:lang w:val="en-GB" w:eastAsia="es-ES"/>
        </w:rPr>
        <w:t>2</w:t>
      </w:r>
      <w:r w:rsidRPr="00230B0A">
        <w:rPr>
          <w:rFonts w:ascii="Times New Roman" w:hAnsi="Times New Roman" w:cs="Times New Roman"/>
          <w:sz w:val="22"/>
          <w:szCs w:val="22"/>
          <w:lang w:val="en-GB" w:eastAsia="es-ES"/>
        </w:rPr>
        <w:t>: 5.</w:t>
      </w:r>
    </w:p>
    <w:p w14:paraId="64E56C35" w14:textId="77777777" w:rsidR="00024B9C" w:rsidRPr="003B1296" w:rsidRDefault="00024B9C" w:rsidP="00024B9C">
      <w:pPr>
        <w:spacing w:after="0" w:line="276" w:lineRule="auto"/>
        <w:ind w:left="426" w:hanging="426"/>
        <w:rPr>
          <w:rFonts w:ascii="Times New Roman" w:hAnsi="Times New Roman"/>
          <w:lang w:val="en-GB" w:eastAsia="es-ES"/>
        </w:rPr>
      </w:pPr>
    </w:p>
    <w:sectPr w:rsidR="00024B9C" w:rsidRPr="003B1296" w:rsidSect="00230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5AC5" w14:textId="77777777" w:rsidR="00BE7027" w:rsidRDefault="00BE7027" w:rsidP="00230B0A">
      <w:pPr>
        <w:spacing w:after="0" w:line="240" w:lineRule="auto"/>
      </w:pPr>
      <w:r>
        <w:separator/>
      </w:r>
    </w:p>
  </w:endnote>
  <w:endnote w:type="continuationSeparator" w:id="0">
    <w:p w14:paraId="4CBB12E7" w14:textId="77777777" w:rsidR="00BE7027" w:rsidRDefault="00BE7027" w:rsidP="002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0BFE" w14:textId="63E8000A" w:rsidR="00230B0A" w:rsidRPr="00230B0A" w:rsidRDefault="00230B0A" w:rsidP="00230B0A">
    <w:pPr>
      <w:pStyle w:val="Fuzeile"/>
      <w:framePr w:wrap="around" w:vAnchor="text" w:hAnchor="margin" w:xAlign="center" w:y="1"/>
      <w:rPr>
        <w:rStyle w:val="Seitenzahl"/>
        <w:rFonts w:asciiTheme="minorHAnsi" w:hAnsiTheme="minorHAnsi" w:cstheme="minorBidi"/>
        <w:noProof/>
        <w:sz w:val="22"/>
        <w:szCs w:val="22"/>
        <w:lang w:val="en-US"/>
      </w:rPr>
    </w:pPr>
    <w:r>
      <w:rPr>
        <w:rStyle w:val="Seitenzahl"/>
        <w:rFonts w:asciiTheme="minorHAnsi" w:hAnsiTheme="minorHAnsi" w:cstheme="minorBidi"/>
        <w:noProof/>
        <w:sz w:val="22"/>
        <w:szCs w:val="22"/>
        <w:lang w:val="en-US"/>
      </w:rPr>
      <w:t>II</w:t>
    </w:r>
  </w:p>
  <w:p w14:paraId="69ED270A" w14:textId="77777777" w:rsidR="00230B0A" w:rsidRDefault="00230B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99ED" w14:textId="19988780" w:rsidR="00230B0A" w:rsidRPr="00230B0A" w:rsidRDefault="00230B0A" w:rsidP="00230B0A">
    <w:pPr>
      <w:pStyle w:val="Fuzeile"/>
      <w:framePr w:wrap="around" w:vAnchor="text" w:hAnchor="margin" w:xAlign="center" w:y="1"/>
      <w:rPr>
        <w:rStyle w:val="Seitenzahl"/>
        <w:rFonts w:asciiTheme="minorHAnsi" w:hAnsiTheme="minorHAnsi" w:cstheme="minorBidi"/>
        <w:noProof/>
        <w:sz w:val="22"/>
        <w:szCs w:val="22"/>
        <w:lang w:val="en-US"/>
      </w:rPr>
    </w:pPr>
    <w:r>
      <w:rPr>
        <w:rStyle w:val="Seitenzahl"/>
        <w:rFonts w:asciiTheme="minorHAnsi" w:hAnsiTheme="minorHAnsi" w:cstheme="minorBidi"/>
        <w:noProof/>
        <w:sz w:val="22"/>
        <w:szCs w:val="22"/>
        <w:lang w:val="en-US"/>
      </w:rPr>
      <w:t>III</w:t>
    </w:r>
  </w:p>
  <w:p w14:paraId="6E6C91E2" w14:textId="77777777" w:rsidR="00230B0A" w:rsidRDefault="00230B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67B5" w14:textId="5638B91A" w:rsidR="00230B0A" w:rsidRPr="00230B0A" w:rsidRDefault="00230B0A" w:rsidP="00230B0A">
    <w:pPr>
      <w:pStyle w:val="Fuzeile"/>
      <w:framePr w:wrap="around" w:vAnchor="text" w:hAnchor="margin" w:xAlign="center" w:y="1"/>
      <w:rPr>
        <w:rStyle w:val="Seitenzahl"/>
        <w:rFonts w:asciiTheme="minorHAnsi" w:hAnsiTheme="minorHAnsi" w:cstheme="minorBidi"/>
        <w:noProof/>
        <w:sz w:val="22"/>
        <w:szCs w:val="22"/>
        <w:lang w:val="en-US"/>
      </w:rPr>
    </w:pPr>
    <w:r>
      <w:rPr>
        <w:rStyle w:val="Seitenzahl"/>
        <w:rFonts w:asciiTheme="minorHAnsi" w:hAnsiTheme="minorHAnsi" w:cstheme="minorBidi"/>
        <w:noProof/>
        <w:sz w:val="22"/>
        <w:szCs w:val="22"/>
        <w:lang w:val="en-US"/>
      </w:rPr>
      <w:t>I</w:t>
    </w:r>
  </w:p>
  <w:p w14:paraId="7115FCDD" w14:textId="77777777" w:rsidR="00230B0A" w:rsidRDefault="00230B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C82F" w14:textId="77777777" w:rsidR="00BE7027" w:rsidRDefault="00BE7027" w:rsidP="00230B0A">
      <w:pPr>
        <w:spacing w:after="0" w:line="240" w:lineRule="auto"/>
      </w:pPr>
      <w:r>
        <w:separator/>
      </w:r>
    </w:p>
  </w:footnote>
  <w:footnote w:type="continuationSeparator" w:id="0">
    <w:p w14:paraId="27EBB55F" w14:textId="77777777" w:rsidR="00BE7027" w:rsidRDefault="00BE7027" w:rsidP="002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9BB1" w14:textId="77777777" w:rsidR="00230B0A" w:rsidRPr="00230B0A" w:rsidRDefault="00230B0A" w:rsidP="00230B0A">
    <w:pPr>
      <w:spacing w:after="0" w:line="276" w:lineRule="auto"/>
      <w:jc w:val="center"/>
      <w:rPr>
        <w:rFonts w:ascii="Minion Pro" w:hAnsi="Minion Pro" w:cs="Minion Pro"/>
        <w:b/>
        <w:bCs/>
        <w:sz w:val="18"/>
        <w:szCs w:val="18"/>
        <w:lang w:val="en-GB"/>
      </w:rPr>
    </w:pPr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Online supplementary data – Amadeus Plewnia et al.: Description of the tadpole of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Hyloxalus</w:t>
    </w:r>
    <w:proofErr w:type="spellEnd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 xml:space="preserve">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nexipus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 Frost, 1986 (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Anura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: 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Dendrobatidae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>) with comments on geographic variation</w:t>
    </w:r>
    <w:r>
      <w:rPr>
        <w:rFonts w:ascii="Minion Pro" w:hAnsi="Minion Pro" w:cs="Minion Pro"/>
        <w:b/>
        <w:bCs/>
        <w:sz w:val="18"/>
        <w:szCs w:val="18"/>
        <w:lang w:val="en-GB"/>
      </w:rPr>
      <w:t xml:space="preserve">. – Salamandra, </w:t>
    </w:r>
    <w:r w:rsidRPr="00230B0A">
      <w:rPr>
        <w:rFonts w:ascii="Minion Pro" w:hAnsi="Minion Pro" w:cs="Minion Pro"/>
        <w:b/>
        <w:bCs/>
        <w:sz w:val="18"/>
        <w:szCs w:val="18"/>
        <w:highlight w:val="yellow"/>
        <w:lang w:val="en-GB"/>
      </w:rPr>
      <w:t>XXXX</w:t>
    </w:r>
  </w:p>
  <w:p w14:paraId="063C13AB" w14:textId="77777777" w:rsidR="00230B0A" w:rsidRPr="00230B0A" w:rsidRDefault="00230B0A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AA82" w14:textId="5D485523" w:rsidR="00230B0A" w:rsidRPr="00230B0A" w:rsidRDefault="00230B0A" w:rsidP="00230B0A">
    <w:pPr>
      <w:spacing w:after="0" w:line="276" w:lineRule="auto"/>
      <w:jc w:val="center"/>
      <w:rPr>
        <w:rFonts w:ascii="Minion Pro" w:hAnsi="Minion Pro" w:cs="Minion Pro"/>
        <w:b/>
        <w:bCs/>
        <w:sz w:val="18"/>
        <w:szCs w:val="18"/>
        <w:lang w:val="en-GB"/>
      </w:rPr>
    </w:pPr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Online supplementary data – Amadeus Plewnia et al.: Description of the tadpole of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Hyloxalus</w:t>
    </w:r>
    <w:proofErr w:type="spellEnd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 xml:space="preserve">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nexipus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 Frost, 1986 (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Anura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: 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Dendrobatidae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>) with comments on geographic variation</w:t>
    </w:r>
    <w:r>
      <w:rPr>
        <w:rFonts w:ascii="Minion Pro" w:hAnsi="Minion Pro" w:cs="Minion Pro"/>
        <w:b/>
        <w:bCs/>
        <w:sz w:val="18"/>
        <w:szCs w:val="18"/>
        <w:lang w:val="en-GB"/>
      </w:rPr>
      <w:t xml:space="preserve">. – Salamandra, </w:t>
    </w:r>
    <w:r w:rsidRPr="00230B0A">
      <w:rPr>
        <w:rFonts w:ascii="Minion Pro" w:hAnsi="Minion Pro" w:cs="Minion Pro"/>
        <w:b/>
        <w:bCs/>
        <w:sz w:val="18"/>
        <w:szCs w:val="18"/>
        <w:highlight w:val="yellow"/>
        <w:lang w:val="en-GB"/>
      </w:rPr>
      <w:t>XXXX</w:t>
    </w:r>
  </w:p>
  <w:p w14:paraId="24C1A535" w14:textId="77777777" w:rsidR="00230B0A" w:rsidRPr="00230B0A" w:rsidRDefault="00230B0A">
    <w:pPr>
      <w:pStyle w:val="Kopfzeile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7F90" w14:textId="052D1D7C" w:rsidR="00230B0A" w:rsidRPr="00230B0A" w:rsidRDefault="00230B0A" w:rsidP="00230B0A">
    <w:pPr>
      <w:spacing w:after="0" w:line="276" w:lineRule="auto"/>
      <w:jc w:val="center"/>
      <w:rPr>
        <w:rFonts w:ascii="Minion Pro" w:hAnsi="Minion Pro" w:cs="Minion Pro"/>
        <w:b/>
        <w:bCs/>
        <w:sz w:val="18"/>
        <w:szCs w:val="18"/>
        <w:lang w:val="en-GB"/>
      </w:rPr>
    </w:pPr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Online supplementary data – </w:t>
    </w:r>
    <w:r w:rsidRPr="000D5FD1">
      <w:rPr>
        <w:rFonts w:ascii="Minion Pro" w:hAnsi="Minion Pro" w:cs="Minion Pro"/>
        <w:b/>
        <w:bCs/>
        <w:smallCaps/>
        <w:sz w:val="18"/>
        <w:szCs w:val="18"/>
        <w:lang w:val="en-GB"/>
      </w:rPr>
      <w:t xml:space="preserve">Amadeus </w:t>
    </w:r>
    <w:proofErr w:type="spellStart"/>
    <w:r w:rsidRPr="000D5FD1">
      <w:rPr>
        <w:rFonts w:ascii="Minion Pro" w:hAnsi="Minion Pro" w:cs="Minion Pro"/>
        <w:b/>
        <w:bCs/>
        <w:smallCaps/>
        <w:sz w:val="18"/>
        <w:szCs w:val="18"/>
        <w:lang w:val="en-GB"/>
      </w:rPr>
      <w:t>Plewnia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 et al.: Description of the tadpole of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Hyloxalus</w:t>
    </w:r>
    <w:proofErr w:type="spellEnd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 xml:space="preserve"> </w:t>
    </w:r>
    <w:proofErr w:type="spellStart"/>
    <w:r w:rsidRPr="00230B0A">
      <w:rPr>
        <w:rFonts w:ascii="Minion Pro" w:hAnsi="Minion Pro" w:cs="Minion Pro"/>
        <w:b/>
        <w:bCs/>
        <w:i/>
        <w:sz w:val="18"/>
        <w:szCs w:val="18"/>
        <w:lang w:val="en-GB"/>
      </w:rPr>
      <w:t>nexipus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 Frost, 1986 (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Anura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 xml:space="preserve">: </w:t>
    </w:r>
    <w:proofErr w:type="spellStart"/>
    <w:r w:rsidRPr="00230B0A">
      <w:rPr>
        <w:rFonts w:ascii="Minion Pro" w:hAnsi="Minion Pro" w:cs="Minion Pro"/>
        <w:b/>
        <w:bCs/>
        <w:sz w:val="18"/>
        <w:szCs w:val="18"/>
        <w:lang w:val="en-GB"/>
      </w:rPr>
      <w:t>Dendrobatidae</w:t>
    </w:r>
    <w:proofErr w:type="spellEnd"/>
    <w:r w:rsidRPr="00230B0A">
      <w:rPr>
        <w:rFonts w:ascii="Minion Pro" w:hAnsi="Minion Pro" w:cs="Minion Pro"/>
        <w:b/>
        <w:bCs/>
        <w:sz w:val="18"/>
        <w:szCs w:val="18"/>
        <w:lang w:val="en-GB"/>
      </w:rPr>
      <w:t>) with comments on geographic variation</w:t>
    </w:r>
    <w:r>
      <w:rPr>
        <w:rFonts w:ascii="Minion Pro" w:hAnsi="Minion Pro" w:cs="Minion Pro"/>
        <w:b/>
        <w:bCs/>
        <w:sz w:val="18"/>
        <w:szCs w:val="18"/>
        <w:lang w:val="en-GB"/>
      </w:rPr>
      <w:t>. – Salamandra</w:t>
    </w:r>
    <w:r w:rsidR="000D5FD1">
      <w:rPr>
        <w:rFonts w:ascii="Minion Pro" w:hAnsi="Minion Pro" w:cs="Minion Pro"/>
        <w:b/>
        <w:bCs/>
        <w:sz w:val="18"/>
        <w:szCs w:val="18"/>
        <w:lang w:val="en-GB"/>
      </w:rPr>
      <w:t>, 60: 195–200.</w:t>
    </w:r>
  </w:p>
  <w:p w14:paraId="1307231B" w14:textId="77777777" w:rsidR="00230B0A" w:rsidRPr="00230B0A" w:rsidRDefault="00230B0A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9F"/>
    <w:rsid w:val="000207C3"/>
    <w:rsid w:val="00024B9C"/>
    <w:rsid w:val="00070AC5"/>
    <w:rsid w:val="000D5FD1"/>
    <w:rsid w:val="00120DBB"/>
    <w:rsid w:val="00220105"/>
    <w:rsid w:val="00230B0A"/>
    <w:rsid w:val="00232D9C"/>
    <w:rsid w:val="00303DA6"/>
    <w:rsid w:val="00316F52"/>
    <w:rsid w:val="00347098"/>
    <w:rsid w:val="003B1296"/>
    <w:rsid w:val="004F5F1A"/>
    <w:rsid w:val="005E0DF9"/>
    <w:rsid w:val="00637712"/>
    <w:rsid w:val="006457D2"/>
    <w:rsid w:val="00664BEA"/>
    <w:rsid w:val="00696D74"/>
    <w:rsid w:val="007F2F08"/>
    <w:rsid w:val="007F519F"/>
    <w:rsid w:val="008715E8"/>
    <w:rsid w:val="008D5C44"/>
    <w:rsid w:val="008D71FD"/>
    <w:rsid w:val="008E5D39"/>
    <w:rsid w:val="009B05E8"/>
    <w:rsid w:val="009B1931"/>
    <w:rsid w:val="009B5962"/>
    <w:rsid w:val="00B0264D"/>
    <w:rsid w:val="00B4267C"/>
    <w:rsid w:val="00BE7027"/>
    <w:rsid w:val="00C74F89"/>
    <w:rsid w:val="00DB7099"/>
    <w:rsid w:val="00F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AD0C"/>
  <w15:chartTrackingRefBased/>
  <w15:docId w15:val="{95042253-A66C-46F1-A1E3-BF96338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0B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4B9C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024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4B9C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4B9C"/>
    <w:rPr>
      <w:rFonts w:ascii="Calibri" w:eastAsia="Calibri" w:hAnsi="Calibri" w:cs="Times New Roman"/>
      <w:sz w:val="20"/>
      <w:szCs w:val="20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B9C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B9C"/>
    <w:pPr>
      <w:spacing w:after="160" w:line="240" w:lineRule="auto"/>
    </w:pPr>
    <w:rPr>
      <w:rFonts w:ascii="Arial" w:eastAsiaTheme="minorHAnsi" w:hAnsi="Arial" w:cs="Arial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4B9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Kopfzeile">
    <w:name w:val="header"/>
    <w:basedOn w:val="Standard"/>
    <w:link w:val="KopfzeileZchn"/>
    <w:uiPriority w:val="99"/>
    <w:unhideWhenUsed/>
    <w:rsid w:val="0023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B0A"/>
  </w:style>
  <w:style w:type="paragraph" w:styleId="Fuzeile">
    <w:name w:val="footer"/>
    <w:basedOn w:val="Standard"/>
    <w:link w:val="FuzeileZchn"/>
    <w:uiPriority w:val="99"/>
    <w:unhideWhenUsed/>
    <w:rsid w:val="0023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B0A"/>
  </w:style>
  <w:style w:type="character" w:styleId="Seitenzahl">
    <w:name w:val="page number"/>
    <w:basedOn w:val="Absatz-Standardschriftart"/>
    <w:uiPriority w:val="99"/>
    <w:semiHidden/>
    <w:unhideWhenUsed/>
    <w:rsid w:val="0023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 Plewnia</dc:creator>
  <cp:keywords/>
  <dc:description/>
  <cp:lastModifiedBy>Birgit</cp:lastModifiedBy>
  <cp:revision>3</cp:revision>
  <dcterms:created xsi:type="dcterms:W3CDTF">2024-05-27T07:45:00Z</dcterms:created>
  <dcterms:modified xsi:type="dcterms:W3CDTF">2024-08-05T10:28:00Z</dcterms:modified>
</cp:coreProperties>
</file>